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hampagne &amp; Limousines" w:cs="Champagne &amp; Limousines" w:eastAsia="Champagne &amp; Limousines" w:hAnsi="Champagne &amp; Limousines"/>
          <w:b w:val="1"/>
          <w:color w:val="0070c0"/>
          <w:sz w:val="40"/>
          <w:szCs w:val="40"/>
        </w:rPr>
      </w:pPr>
      <w:r w:rsidDel="00000000" w:rsidR="00000000" w:rsidRPr="00000000">
        <w:rPr>
          <w:rFonts w:ascii="KG Second Chances Sketch" w:cs="KG Second Chances Sketch" w:eastAsia="KG Second Chances Sketch" w:hAnsi="KG Second Chances Sketch"/>
          <w:color w:val="0070c0"/>
          <w:sz w:val="48"/>
          <w:szCs w:val="48"/>
          <w:rtl w:val="0"/>
        </w:rPr>
        <w:t xml:space="preserve">Bonnyrigg</w:t>
      </w:r>
      <w:r w:rsidDel="00000000" w:rsidR="00000000" w:rsidRPr="00000000">
        <w:rPr>
          <w:rFonts w:ascii="Champagne &amp; Limousines" w:cs="Champagne &amp; Limousines" w:eastAsia="Champagne &amp; Limousines" w:hAnsi="Champagne &amp; Limousines"/>
          <w:b w:val="1"/>
          <w:color w:val="0070c0"/>
          <w:sz w:val="48"/>
          <w:szCs w:val="48"/>
          <w:rtl w:val="0"/>
        </w:rPr>
        <w:t xml:space="preserve"> </w:t>
      </w:r>
      <w:r w:rsidDel="00000000" w:rsidR="00000000" w:rsidRPr="00000000">
        <w:rPr>
          <w:rFonts w:ascii="KG Second Chances Sketch" w:cs="KG Second Chances Sketch" w:eastAsia="KG Second Chances Sketch" w:hAnsi="KG Second Chances Sketch"/>
          <w:color w:val="0070c0"/>
          <w:sz w:val="48"/>
          <w:szCs w:val="48"/>
          <w:rtl w:val="0"/>
        </w:rPr>
        <w:t xml:space="preserve">Public School Behaviour Support and Management Plan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114300</wp:posOffset>
            </wp:positionV>
            <wp:extent cx="1624013" cy="141218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24013" cy="1412185"/>
                    </a:xfrm>
                    <a:prstGeom prst="rect"/>
                    <a:ln/>
                  </pic:spPr>
                </pic:pic>
              </a:graphicData>
            </a:graphic>
          </wp:anchor>
        </w:drawing>
      </w:r>
    </w:p>
    <w:p w:rsidR="00000000" w:rsidDel="00000000" w:rsidP="00000000" w:rsidRDefault="00000000" w:rsidRPr="00000000" w14:paraId="00000002">
      <w:pPr>
        <w:ind w:left="720" w:hanging="720"/>
        <w:rPr>
          <w:rFonts w:ascii="Champagne &amp; Limousines" w:cs="Champagne &amp; Limousines" w:eastAsia="Champagne &amp; Limousines" w:hAnsi="Champagne &amp; Limousines"/>
          <w:b w:val="1"/>
          <w:color w:val="0070c0"/>
          <w:sz w:val="32"/>
          <w:szCs w:val="32"/>
        </w:rPr>
      </w:pPr>
      <w:r w:rsidDel="00000000" w:rsidR="00000000" w:rsidRPr="00000000">
        <w:rPr>
          <w:rFonts w:ascii="Champagne &amp; Limousines" w:cs="Champagne &amp; Limousines" w:eastAsia="Champagne &amp; Limousines" w:hAnsi="Champagne &amp; Limousines"/>
          <w:b w:val="1"/>
          <w:color w:val="0070c0"/>
          <w:sz w:val="32"/>
          <w:szCs w:val="32"/>
          <w:rtl w:val="0"/>
        </w:rPr>
        <w:t xml:space="preserve">Reviewed:  May 2023          </w:t>
      </w:r>
    </w:p>
    <w:p w:rsidR="00000000" w:rsidDel="00000000" w:rsidP="00000000" w:rsidRDefault="00000000" w:rsidRPr="00000000" w14:paraId="00000003">
      <w:pPr>
        <w:ind w:left="720" w:hanging="720"/>
        <w:rPr>
          <w:rFonts w:ascii="Champagne &amp; Limousines" w:cs="Champagne &amp; Limousines" w:eastAsia="Champagne &amp; Limousines" w:hAnsi="Champagne &amp; Limousines"/>
          <w:b w:val="1"/>
          <w:color w:val="0070c0"/>
          <w:sz w:val="32"/>
          <w:szCs w:val="32"/>
        </w:rPr>
      </w:pPr>
      <w:r w:rsidDel="00000000" w:rsidR="00000000" w:rsidRPr="00000000">
        <w:rPr>
          <w:rFonts w:ascii="Champagne &amp; Limousines" w:cs="Champagne &amp; Limousines" w:eastAsia="Champagne &amp; Limousines" w:hAnsi="Champagne &amp; Limousines"/>
          <w:b w:val="1"/>
          <w:color w:val="0070c0"/>
          <w:sz w:val="32"/>
          <w:szCs w:val="32"/>
          <w:rtl w:val="0"/>
        </w:rPr>
        <w:t xml:space="preserve">To be Reviewed: January 2024</w:t>
      </w:r>
    </w:p>
    <w:tbl>
      <w:tblPr>
        <w:tblStyle w:val="Table1"/>
        <w:tblW w:w="1034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925"/>
        <w:gridCol w:w="2681"/>
        <w:gridCol w:w="5737"/>
        <w:tblGridChange w:id="0">
          <w:tblGrid>
            <w:gridCol w:w="1925"/>
            <w:gridCol w:w="2681"/>
            <w:gridCol w:w="5737"/>
          </w:tblGrid>
        </w:tblGridChange>
      </w:tblGrid>
      <w:tr>
        <w:trPr>
          <w:cantSplit w:val="1"/>
          <w:trHeight w:val="220" w:hRule="atLeast"/>
          <w:tblHeader w:val="1"/>
        </w:trPr>
        <w:tc>
          <w:tcPr>
            <w:gridSpan w:val="3"/>
            <w:shd w:fill="002060" w:val="clear"/>
          </w:tcPr>
          <w:p w:rsidR="00000000" w:rsidDel="00000000" w:rsidP="00000000" w:rsidRDefault="00000000" w:rsidRPr="00000000" w14:paraId="00000004">
            <w:pPr>
              <w:spacing w:after="192" w:before="192" w:line="276" w:lineRule="auto"/>
              <w:rPr>
                <w:b w:val="1"/>
                <w:color w:val="ffffff"/>
              </w:rPr>
            </w:pPr>
            <w:r w:rsidDel="00000000" w:rsidR="00000000" w:rsidRPr="00000000">
              <w:rPr>
                <w:b w:val="1"/>
                <w:color w:val="ffffff"/>
                <w:rtl w:val="0"/>
              </w:rPr>
              <w:t xml:space="preserve">Overview</w:t>
            </w:r>
          </w:p>
        </w:tc>
      </w:tr>
      <w:tr>
        <w:trPr>
          <w:cantSplit w:val="1"/>
          <w:trHeight w:val="2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240" w:before="240" w:line="276" w:lineRule="auto"/>
              <w:rPr>
                <w:b w:val="1"/>
              </w:rPr>
            </w:pPr>
            <w:r w:rsidDel="00000000" w:rsidR="00000000" w:rsidRPr="00000000">
              <w:rPr>
                <w:b w:val="1"/>
                <w:rtl w:val="0"/>
              </w:rPr>
              <w:t xml:space="preserve">Bonnyrigg Public School is committed to explicitly teaching and modelling positive behaviour and to supporting all students to be engaged with their learning. Key programs prioritised and valued by the school community are Positive Behaviour for Leanring and the Berry Street Education Model.</w:t>
            </w:r>
          </w:p>
        </w:tc>
      </w:tr>
      <w:tr>
        <w:trPr>
          <w:cantSplit w:val="1"/>
          <w:tblHeader w:val="0"/>
        </w:trPr>
        <w:tc>
          <w:tcPr>
            <w:gridSpan w:val="3"/>
            <w:shd w:fill="deebf6" w:val="clear"/>
          </w:tcPr>
          <w:p w:rsidR="00000000" w:rsidDel="00000000" w:rsidP="00000000" w:rsidRDefault="00000000" w:rsidRPr="00000000" w14:paraId="0000000A">
            <w:pPr>
              <w:spacing w:line="276" w:lineRule="auto"/>
              <w:rPr>
                <w:b w:val="1"/>
              </w:rPr>
            </w:pPr>
            <w:r w:rsidDel="00000000" w:rsidR="00000000" w:rsidRPr="00000000">
              <w:rPr>
                <w:b w:val="1"/>
                <w:rtl w:val="0"/>
              </w:rPr>
              <w:t xml:space="preserve">Pre-reading and reference documents</w:t>
            </w:r>
          </w:p>
        </w:tc>
      </w:tr>
      <w:tr>
        <w:trPr>
          <w:cantSplit w:val="1"/>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76" w:lineRule="auto"/>
              <w:rPr/>
            </w:pPr>
            <w:hyperlink r:id="rId8">
              <w:r w:rsidDel="00000000" w:rsidR="00000000" w:rsidRPr="00000000">
                <w:rPr>
                  <w:color w:val="1155cc"/>
                  <w:u w:val="single"/>
                  <w:rtl w:val="0"/>
                </w:rPr>
                <w:t xml:space="preserve">Student Behaviour Procedures Kindergarted to Year 12</w:t>
              </w:r>
            </w:hyperlink>
            <w:r w:rsidDel="00000000" w:rsidR="00000000" w:rsidRPr="00000000">
              <w:rPr>
                <w:rtl w:val="0"/>
              </w:rPr>
            </w:r>
          </w:p>
          <w:p w:rsidR="00000000" w:rsidDel="00000000" w:rsidP="00000000" w:rsidRDefault="00000000" w:rsidRPr="00000000" w14:paraId="0000000E">
            <w:pPr>
              <w:spacing w:line="276" w:lineRule="auto"/>
              <w:rPr/>
            </w:pPr>
            <w:hyperlink r:id="rId9">
              <w:r w:rsidDel="00000000" w:rsidR="00000000" w:rsidRPr="00000000">
                <w:rPr>
                  <w:color w:val="1155cc"/>
                  <w:u w:val="single"/>
                  <w:rtl w:val="0"/>
                </w:rPr>
                <w:t xml:space="preserve">Behaviour Code for Students</w:t>
              </w:r>
            </w:hyperlink>
            <w:r w:rsidDel="00000000" w:rsidR="00000000" w:rsidRPr="00000000">
              <w:rPr>
                <w:rtl w:val="0"/>
              </w:rPr>
            </w:r>
          </w:p>
          <w:p w:rsidR="00000000" w:rsidDel="00000000" w:rsidP="00000000" w:rsidRDefault="00000000" w:rsidRPr="00000000" w14:paraId="0000000F">
            <w:pPr>
              <w:spacing w:line="276" w:lineRule="auto"/>
              <w:rPr/>
            </w:pPr>
            <w:hyperlink r:id="rId10">
              <w:r w:rsidDel="00000000" w:rsidR="00000000" w:rsidRPr="00000000">
                <w:rPr>
                  <w:color w:val="1155cc"/>
                  <w:u w:val="single"/>
                  <w:rtl w:val="0"/>
                </w:rPr>
                <w:t xml:space="preserve">Detention and Time-out Guidelines</w:t>
              </w:r>
            </w:hyperlink>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tc>
      </w:tr>
      <w:tr>
        <w:trPr>
          <w:cantSplit w:val="1"/>
          <w:tblHeader w:val="0"/>
        </w:trPr>
        <w:tc>
          <w:tcPr>
            <w:gridSpan w:val="3"/>
            <w:shd w:fill="deebf6" w:val="clear"/>
          </w:tcPr>
          <w:p w:rsidR="00000000" w:rsidDel="00000000" w:rsidP="00000000" w:rsidRDefault="00000000" w:rsidRPr="00000000" w14:paraId="00000013">
            <w:pPr>
              <w:spacing w:line="276" w:lineRule="auto"/>
              <w:rPr>
                <w:b w:val="1"/>
              </w:rPr>
            </w:pPr>
            <w:r w:rsidDel="00000000" w:rsidR="00000000" w:rsidRPr="00000000">
              <w:rPr>
                <w:b w:val="1"/>
                <w:rtl w:val="0"/>
              </w:rPr>
              <w:t xml:space="preserve">Staff roles and responsibilities</w:t>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192" w:line="276" w:lineRule="auto"/>
              <w:rPr>
                <w:b w:val="1"/>
              </w:rPr>
            </w:pPr>
            <w:r w:rsidDel="00000000" w:rsidR="00000000" w:rsidRPr="00000000">
              <w:rPr>
                <w:b w:val="1"/>
                <w:rtl w:val="0"/>
              </w:rPr>
              <w:t xml:space="preserve">School principal</w:t>
            </w:r>
          </w:p>
          <w:p w:rsidR="00000000" w:rsidDel="00000000" w:rsidP="00000000" w:rsidRDefault="00000000" w:rsidRPr="00000000" w14:paraId="00000017">
            <w:pPr>
              <w:spacing w:line="276" w:lineRule="auto"/>
              <w:rPr>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76" w:lineRule="auto"/>
              <w:rPr>
                <w:sz w:val="22"/>
                <w:szCs w:val="22"/>
              </w:rPr>
            </w:pPr>
            <w:r w:rsidDel="00000000" w:rsidR="00000000" w:rsidRPr="00000000">
              <w:rPr>
                <w:sz w:val="22"/>
                <w:szCs w:val="22"/>
                <w:rtl w:val="0"/>
              </w:rPr>
              <w:t xml:space="preserve">The principal holds primary responsibility for the safety and wellbeing of all students and staff.</w:t>
            </w:r>
          </w:p>
          <w:p w:rsidR="00000000" w:rsidDel="00000000" w:rsidP="00000000" w:rsidRDefault="00000000" w:rsidRPr="00000000" w14:paraId="00000019">
            <w:pPr>
              <w:spacing w:line="276" w:lineRule="auto"/>
              <w:rPr>
                <w:sz w:val="22"/>
                <w:szCs w:val="22"/>
              </w:rPr>
            </w:pPr>
            <w:r w:rsidDel="00000000" w:rsidR="00000000" w:rsidRPr="00000000">
              <w:rPr>
                <w:sz w:val="22"/>
                <w:szCs w:val="22"/>
                <w:rtl w:val="0"/>
              </w:rPr>
              <w:t xml:space="preserve">The principal is responsible for ensuring:</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the school’s behaviour procedures are updated annually as a review process, consulting with the Departments school behaviour procedures.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staff </w:t>
            </w:r>
            <w:r w:rsidDel="00000000" w:rsidR="00000000" w:rsidRPr="00000000">
              <w:rPr>
                <w:sz w:val="22"/>
                <w:szCs w:val="22"/>
                <w:rtl w:val="0"/>
              </w:rPr>
              <w:t xml:space="preserve">are familiar with and use the current behaviour procedures in line with departmental requirements.</w:t>
            </w:r>
            <w:r w:rsidDel="00000000" w:rsidR="00000000" w:rsidRPr="00000000">
              <w:rPr>
                <w:rtl w:val="0"/>
              </w:rPr>
            </w:r>
          </w:p>
          <w:p w:rsidR="00000000" w:rsidDel="00000000" w:rsidP="00000000" w:rsidRDefault="00000000" w:rsidRPr="00000000" w14:paraId="0000001C">
            <w:pPr>
              <w:numPr>
                <w:ilvl w:val="0"/>
                <w:numId w:val="3"/>
              </w:numPr>
              <w:spacing w:after="80" w:before="80" w:line="276" w:lineRule="auto"/>
              <w:ind w:left="720" w:hanging="360"/>
              <w:rPr>
                <w:rFonts w:ascii="Arial" w:cs="Arial" w:eastAsia="Arial" w:hAnsi="Arial"/>
                <w:sz w:val="22"/>
                <w:szCs w:val="22"/>
              </w:rPr>
            </w:pPr>
            <w:r w:rsidDel="00000000" w:rsidR="00000000" w:rsidRPr="00000000">
              <w:rPr>
                <w:sz w:val="22"/>
                <w:szCs w:val="22"/>
                <w:rtl w:val="0"/>
              </w:rPr>
              <w:t xml:space="preserve">all procedures are current and reviewed as part of a continuous cycle of self- assessment.</w:t>
            </w:r>
          </w:p>
          <w:p w:rsidR="00000000" w:rsidDel="00000000" w:rsidP="00000000" w:rsidRDefault="00000000" w:rsidRPr="00000000" w14:paraId="0000001D">
            <w:pPr>
              <w:spacing w:line="276" w:lineRule="auto"/>
              <w:rPr>
                <w:sz w:val="22"/>
                <w:szCs w:val="22"/>
                <w:highlight w:val="yellow"/>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01F">
            <w:pPr>
              <w:spacing w:line="276" w:lineRule="auto"/>
              <w:rPr>
                <w:b w:val="1"/>
              </w:rPr>
            </w:pPr>
            <w:r w:rsidDel="00000000" w:rsidR="00000000" w:rsidRPr="00000000">
              <w:rPr>
                <w:b w:val="1"/>
                <w:rtl w:val="0"/>
              </w:rPr>
              <w:t xml:space="preserve">Deputy/Assistant Principal</w:t>
            </w:r>
          </w:p>
          <w:p w:rsidR="00000000" w:rsidDel="00000000" w:rsidP="00000000" w:rsidRDefault="00000000" w:rsidRPr="00000000" w14:paraId="00000020">
            <w:pPr>
              <w:spacing w:line="276" w:lineRule="auto"/>
              <w:rPr/>
            </w:pPr>
            <w:r w:rsidDel="00000000" w:rsidR="00000000" w:rsidRPr="00000000">
              <w:rPr>
                <w:color w:val="ff0000"/>
                <w:rtl w:val="0"/>
              </w:rPr>
              <w:t xml:space="preserve"> </w:t>
            </w:r>
            <w:r w:rsidDel="00000000" w:rsidR="00000000" w:rsidRPr="00000000">
              <w:rPr>
                <w:rtl w:val="0"/>
              </w:rPr>
            </w:r>
          </w:p>
        </w:tc>
        <w:tc>
          <w:tcPr>
            <w:gridSpan w:val="2"/>
            <w:shd w:fill="auto" w:val="clear"/>
          </w:tcPr>
          <w:p w:rsidR="00000000" w:rsidDel="00000000" w:rsidP="00000000" w:rsidRDefault="00000000" w:rsidRPr="00000000" w14:paraId="00000021">
            <w:pPr>
              <w:spacing w:line="276" w:lineRule="auto"/>
              <w:rPr>
                <w:sz w:val="22"/>
                <w:szCs w:val="22"/>
              </w:rPr>
            </w:pPr>
            <w:r w:rsidDel="00000000" w:rsidR="00000000" w:rsidRPr="00000000">
              <w:rPr>
                <w:sz w:val="22"/>
                <w:szCs w:val="22"/>
                <w:rtl w:val="0"/>
              </w:rPr>
              <w:t xml:space="preserve">The Deputy/Assistant Principal supports the principal in their role and is responsible for leading and supporting staff with the implementation of the school’s behaviour procedures. This could include: </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8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Manage all tier 2 and 3 behaviours, consulting with parent/caregivers on matters of concern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reflect with students on their behaviour of concern and work on strategies moving forward.</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Refer students to LST when behaviours become a concern to wellbeing and safety of others. </w:t>
            </w: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026">
            <w:pPr>
              <w:spacing w:line="276" w:lineRule="auto"/>
              <w:rPr>
                <w:b w:val="1"/>
              </w:rPr>
            </w:pPr>
            <w:r w:rsidDel="00000000" w:rsidR="00000000" w:rsidRPr="00000000">
              <w:rPr>
                <w:b w:val="1"/>
                <w:rtl w:val="0"/>
              </w:rPr>
              <w:t xml:space="preserve">All Staff</w:t>
            </w:r>
          </w:p>
        </w:tc>
        <w:tc>
          <w:tcPr>
            <w:gridSpan w:val="2"/>
            <w:shd w:fill="auto" w:val="clear"/>
          </w:tcPr>
          <w:p w:rsidR="00000000" w:rsidDel="00000000" w:rsidP="00000000" w:rsidRDefault="00000000" w:rsidRPr="00000000" w14:paraId="00000027">
            <w:pPr>
              <w:spacing w:line="276" w:lineRule="auto"/>
              <w:rPr>
                <w:sz w:val="22"/>
                <w:szCs w:val="22"/>
              </w:rPr>
            </w:pPr>
            <w:r w:rsidDel="00000000" w:rsidR="00000000" w:rsidRPr="00000000">
              <w:rPr>
                <w:sz w:val="22"/>
                <w:szCs w:val="22"/>
                <w:rtl w:val="0"/>
              </w:rPr>
              <w:t xml:space="preserve">Staff support student behaviour within their classroom and whole school by promoting positive behaviour and managing behavioirus of concern. this includes; </w:t>
            </w:r>
          </w:p>
          <w:p w:rsidR="00000000" w:rsidDel="00000000" w:rsidP="00000000" w:rsidRDefault="00000000" w:rsidRPr="00000000" w14:paraId="00000028">
            <w:pPr>
              <w:numPr>
                <w:ilvl w:val="0"/>
                <w:numId w:val="4"/>
              </w:numPr>
              <w:spacing w:line="276" w:lineRule="auto"/>
              <w:ind w:left="720" w:hanging="360"/>
              <w:rPr>
                <w:sz w:val="22"/>
                <w:szCs w:val="22"/>
              </w:rPr>
            </w:pPr>
            <w:r w:rsidDel="00000000" w:rsidR="00000000" w:rsidRPr="00000000">
              <w:rPr>
                <w:sz w:val="22"/>
                <w:szCs w:val="22"/>
                <w:rtl w:val="0"/>
              </w:rPr>
              <w:t xml:space="preserve">Following all PBL and Berry St procures in line with school procedures and expectations. </w:t>
            </w:r>
          </w:p>
          <w:p w:rsidR="00000000" w:rsidDel="00000000" w:rsidP="00000000" w:rsidRDefault="00000000" w:rsidRPr="00000000" w14:paraId="00000029">
            <w:pPr>
              <w:numPr>
                <w:ilvl w:val="0"/>
                <w:numId w:val="4"/>
              </w:numPr>
              <w:spacing w:line="276" w:lineRule="auto"/>
              <w:ind w:left="720" w:hanging="360"/>
              <w:rPr>
                <w:sz w:val="22"/>
                <w:szCs w:val="22"/>
              </w:rPr>
            </w:pPr>
            <w:r w:rsidDel="00000000" w:rsidR="00000000" w:rsidRPr="00000000">
              <w:rPr>
                <w:sz w:val="22"/>
                <w:szCs w:val="22"/>
                <w:rtl w:val="0"/>
              </w:rPr>
              <w:t xml:space="preserve">Manage low level tier 1 behaviours in the classroom and on the playground. </w:t>
            </w:r>
          </w:p>
          <w:p w:rsidR="00000000" w:rsidDel="00000000" w:rsidP="00000000" w:rsidRDefault="00000000" w:rsidRPr="00000000" w14:paraId="0000002A">
            <w:pPr>
              <w:numPr>
                <w:ilvl w:val="0"/>
                <w:numId w:val="4"/>
              </w:numPr>
              <w:spacing w:line="276" w:lineRule="auto"/>
              <w:ind w:left="720" w:hanging="360"/>
              <w:rPr>
                <w:sz w:val="22"/>
                <w:szCs w:val="22"/>
              </w:rPr>
            </w:pPr>
            <w:r w:rsidDel="00000000" w:rsidR="00000000" w:rsidRPr="00000000">
              <w:rPr>
                <w:sz w:val="22"/>
                <w:szCs w:val="22"/>
                <w:rtl w:val="0"/>
              </w:rPr>
              <w:t xml:space="preserve">Refer students to supervisor when behaviours becoming concerning. </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keepNext w:val="0"/>
        <w:keepLines w:val="0"/>
        <w:spacing w:after="80" w:before="280" w:line="288" w:lineRule="auto"/>
        <w:rPr/>
      </w:pPr>
      <w:bookmarkStart w:colFirst="0" w:colLast="0" w:name="_heading=h.uakope22iork" w:id="0"/>
      <w:bookmarkEnd w:id="0"/>
      <w:r w:rsidDel="00000000" w:rsidR="00000000" w:rsidRPr="00000000">
        <w:rPr>
          <w:rtl w:val="0"/>
        </w:rPr>
        <w:t xml:space="preserve">Promoting and reinforcing positive student behaviour and school-wide expectations</w:t>
      </w:r>
    </w:p>
    <w:p w:rsidR="00000000" w:rsidDel="00000000" w:rsidP="00000000" w:rsidRDefault="00000000" w:rsidRPr="00000000" w14:paraId="0000002E">
      <w:pPr>
        <w:pStyle w:val="Heading3"/>
        <w:keepNext w:val="0"/>
        <w:keepLines w:val="0"/>
        <w:spacing w:after="80" w:before="280" w:line="288" w:lineRule="auto"/>
        <w:rPr>
          <w:color w:val="000000"/>
          <w:sz w:val="24"/>
          <w:szCs w:val="24"/>
        </w:rPr>
      </w:pPr>
      <w:bookmarkStart w:colFirst="0" w:colLast="0" w:name="_heading=h.bpsrzqv0el5i" w:id="1"/>
      <w:bookmarkEnd w:id="1"/>
      <w:r w:rsidDel="00000000" w:rsidR="00000000" w:rsidRPr="00000000">
        <w:rPr>
          <w:color w:val="000000"/>
          <w:sz w:val="24"/>
          <w:szCs w:val="24"/>
          <w:rtl w:val="0"/>
        </w:rPr>
        <w:t xml:space="preserve">Bonnyrigg Public School has the following school-wide rules and expectations:</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To be </w:t>
      </w:r>
      <w:r w:rsidDel="00000000" w:rsidR="00000000" w:rsidRPr="00000000">
        <w:rPr>
          <w:rFonts w:ascii="Arial" w:cs="Arial" w:eastAsia="Arial" w:hAnsi="Arial"/>
          <w:b w:val="1"/>
          <w:sz w:val="24"/>
          <w:szCs w:val="24"/>
          <w:rtl w:val="0"/>
        </w:rPr>
        <w:t xml:space="preserve">Safe, Respectful and Engaged</w:t>
      </w:r>
      <w:r w:rsidDel="00000000" w:rsidR="00000000" w:rsidRPr="00000000">
        <w:rPr>
          <w:rFonts w:ascii="Arial" w:cs="Arial" w:eastAsia="Arial" w:hAnsi="Arial"/>
          <w:sz w:val="24"/>
          <w:szCs w:val="24"/>
          <w:rtl w:val="0"/>
        </w:rPr>
        <w:t xml:space="preserve"> in all areas of the school. What this looks like i s; </w:t>
      </w:r>
    </w:p>
    <w:p w:rsidR="00000000" w:rsidDel="00000000" w:rsidP="00000000" w:rsidRDefault="00000000" w:rsidRPr="00000000" w14:paraId="00000030">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Hands and feet to yourself</w:t>
      </w:r>
    </w:p>
    <w:p w:rsidR="00000000" w:rsidDel="00000000" w:rsidP="00000000" w:rsidRDefault="00000000" w:rsidRPr="00000000" w14:paraId="00000031">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furniture and equipment appropriately </w:t>
      </w:r>
    </w:p>
    <w:p w:rsidR="00000000" w:rsidDel="00000000" w:rsidP="00000000" w:rsidRDefault="00000000" w:rsidRPr="00000000" w14:paraId="00000032">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Hand up and wait to speak</w:t>
      </w:r>
    </w:p>
    <w:p w:rsidR="00000000" w:rsidDel="00000000" w:rsidP="00000000" w:rsidRDefault="00000000" w:rsidRPr="00000000" w14:paraId="00000033">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Follow instructions</w:t>
      </w:r>
    </w:p>
    <w:p w:rsidR="00000000" w:rsidDel="00000000" w:rsidP="00000000" w:rsidRDefault="00000000" w:rsidRPr="00000000" w14:paraId="00000034">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Always try your best</w:t>
      </w:r>
    </w:p>
    <w:p w:rsidR="00000000" w:rsidDel="00000000" w:rsidP="00000000" w:rsidRDefault="00000000" w:rsidRPr="00000000" w14:paraId="00000035">
      <w:pPr>
        <w:numPr>
          <w:ilvl w:val="0"/>
          <w:numId w:val="2"/>
        </w:numPr>
        <w:spacing w:after="1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Right place, right time</w:t>
      </w:r>
      <w:r w:rsidDel="00000000" w:rsidR="00000000" w:rsidRPr="00000000">
        <w:rPr>
          <w:rtl w:val="0"/>
        </w:rPr>
      </w:r>
    </w:p>
    <w:p w:rsidR="00000000" w:rsidDel="00000000" w:rsidP="00000000" w:rsidRDefault="00000000" w:rsidRPr="00000000" w14:paraId="00000036">
      <w:pPr>
        <w:pStyle w:val="Heading3"/>
        <w:keepNext w:val="0"/>
        <w:keepLines w:val="0"/>
        <w:spacing w:after="80" w:before="280" w:line="288" w:lineRule="auto"/>
        <w:rPr>
          <w:color w:val="000000"/>
          <w:sz w:val="24"/>
          <w:szCs w:val="24"/>
        </w:rPr>
      </w:pPr>
      <w:bookmarkStart w:colFirst="0" w:colLast="0" w:name="_heading=h.he87ggtvm3y1" w:id="2"/>
      <w:bookmarkEnd w:id="2"/>
      <w:r w:rsidDel="00000000" w:rsidR="00000000" w:rsidRPr="00000000">
        <w:rPr>
          <w:color w:val="000000"/>
          <w:sz w:val="24"/>
          <w:szCs w:val="24"/>
          <w:rtl w:val="0"/>
        </w:rPr>
        <w:t xml:space="preserve">Bonnyrigg Public School</w:t>
      </w:r>
      <w:r w:rsidDel="00000000" w:rsidR="00000000" w:rsidRPr="00000000">
        <w:rPr>
          <w:color w:val="000000"/>
          <w:sz w:val="24"/>
          <w:szCs w:val="24"/>
          <w:rtl w:val="0"/>
        </w:rPr>
        <w:t xml:space="preserve"> uses the following strategies and systems to explicitly teach, recognise and reinforce positive student behaviour and behavioural expectations:</w:t>
      </w:r>
    </w:p>
    <w:p w:rsidR="00000000" w:rsidDel="00000000" w:rsidP="00000000" w:rsidRDefault="00000000" w:rsidRPr="00000000" w14:paraId="0000003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Positive Behaviour for Learning</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A whole school approach to explicitly teaching and modeling positive behaviour. Expectations and desired behaviorus are taught during explicit lessons, with a fortnightly focus put forward to students to work towards an identified target. Students are rewarded in accordance with the positive behaviour model and students work towards a major school award through exhibiting positive behaviour and engagement in their learning. </w:t>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Berry Street Education Model</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A trauma informed practice that creates a safe space for students to succeed and thrive. Built of consistent, predictable routines, relationships are established between the teacher and the students to ensure we are all ready to learn at all stage of the school day. Student wellbeing is supported through regular check in’s and activities to support their learning such as, brain breaks, morning circle and mindfulness. </w:t>
      </w:r>
    </w:p>
    <w:p w:rsidR="00000000" w:rsidDel="00000000" w:rsidP="00000000" w:rsidRDefault="00000000" w:rsidRPr="00000000" w14:paraId="0000003B">
      <w:pPr>
        <w:pStyle w:val="Heading3"/>
        <w:keepNext w:val="0"/>
        <w:keepLines w:val="0"/>
        <w:spacing w:after="80" w:before="280" w:line="288" w:lineRule="auto"/>
        <w:rPr>
          <w:rFonts w:ascii="Arial" w:cs="Arial" w:eastAsia="Arial" w:hAnsi="Arial"/>
        </w:rPr>
      </w:pPr>
      <w:bookmarkStart w:colFirst="0" w:colLast="0" w:name="_heading=h.jo5yvwyow5jf" w:id="3"/>
      <w:bookmarkEnd w:id="3"/>
      <w:r w:rsidDel="00000000" w:rsidR="00000000" w:rsidRPr="00000000">
        <w:rPr>
          <w:rFonts w:ascii="Arial" w:cs="Arial" w:eastAsia="Arial" w:hAnsi="Arial"/>
          <w:rtl w:val="0"/>
        </w:rPr>
        <w:t xml:space="preserve">Behaviour Code for Students</w:t>
      </w:r>
    </w:p>
    <w:p w:rsidR="00000000" w:rsidDel="00000000" w:rsidP="00000000" w:rsidRDefault="00000000" w:rsidRPr="00000000" w14:paraId="0000003C">
      <w:pPr>
        <w:pStyle w:val="Heading3"/>
        <w:keepNext w:val="0"/>
        <w:keepLines w:val="0"/>
        <w:spacing w:after="80" w:before="280" w:line="288" w:lineRule="auto"/>
        <w:rPr>
          <w:rFonts w:ascii="Arial" w:cs="Arial" w:eastAsia="Arial" w:hAnsi="Arial"/>
          <w:b w:val="0"/>
          <w:color w:val="000000"/>
          <w:sz w:val="24"/>
          <w:szCs w:val="24"/>
        </w:rPr>
      </w:pPr>
      <w:bookmarkStart w:colFirst="0" w:colLast="0" w:name="_heading=h.n9cq1yv2s5px" w:id="4"/>
      <w:bookmarkEnd w:id="4"/>
      <w:r w:rsidDel="00000000" w:rsidR="00000000" w:rsidRPr="00000000">
        <w:rPr>
          <w:rFonts w:ascii="Arial" w:cs="Arial" w:eastAsia="Arial" w:hAnsi="Arial"/>
          <w:b w:val="0"/>
          <w:color w:val="000000"/>
          <w:sz w:val="24"/>
          <w:szCs w:val="24"/>
          <w:rtl w:val="0"/>
        </w:rPr>
        <w:t xml:space="preserve">The Behaviour Code for Students can be found at</w:t>
      </w:r>
      <w:hyperlink r:id="rId11">
        <w:r w:rsidDel="00000000" w:rsidR="00000000" w:rsidRPr="00000000">
          <w:rPr>
            <w:rFonts w:ascii="Arial" w:cs="Arial" w:eastAsia="Arial" w:hAnsi="Arial"/>
            <w:b w:val="0"/>
            <w:color w:val="000000"/>
            <w:sz w:val="24"/>
            <w:szCs w:val="24"/>
            <w:rtl w:val="0"/>
          </w:rPr>
          <w:t xml:space="preserve"> </w:t>
        </w:r>
      </w:hyperlink>
      <w:hyperlink r:id="rId12">
        <w:r w:rsidDel="00000000" w:rsidR="00000000" w:rsidRPr="00000000">
          <w:rPr>
            <w:rFonts w:ascii="Arial" w:cs="Arial" w:eastAsia="Arial" w:hAnsi="Arial"/>
            <w:b w:val="0"/>
            <w:color w:val="1155cc"/>
            <w:sz w:val="24"/>
            <w:szCs w:val="24"/>
            <w:u w:val="single"/>
            <w:rtl w:val="0"/>
          </w:rPr>
          <w:t xml:space="preserve">https://education.nsw.gov.au/policy-library/policies/pd-2006-0316/pd-2006-0316-01</w:t>
        </w:r>
      </w:hyperlink>
      <w:r w:rsidDel="00000000" w:rsidR="00000000" w:rsidRPr="00000000">
        <w:rPr>
          <w:rFonts w:ascii="Arial" w:cs="Arial" w:eastAsia="Arial" w:hAnsi="Arial"/>
          <w:b w:val="0"/>
          <w:color w:val="000000"/>
          <w:sz w:val="24"/>
          <w:szCs w:val="24"/>
          <w:rtl w:val="0"/>
        </w:rPr>
        <w:t xml:space="preserve">. High expectations for student behaviour are established and maintained through effective role modelling, explicit teaching and planned responses.</w:t>
      </w:r>
    </w:p>
    <w:p w:rsidR="00000000" w:rsidDel="00000000" w:rsidP="00000000" w:rsidRDefault="00000000" w:rsidRPr="00000000" w14:paraId="0000003D">
      <w:pPr>
        <w:pStyle w:val="Heading3"/>
        <w:keepNext w:val="0"/>
        <w:keepLines w:val="0"/>
        <w:spacing w:after="80" w:before="280" w:line="288" w:lineRule="auto"/>
        <w:rPr>
          <w:rFonts w:ascii="Arial" w:cs="Arial" w:eastAsia="Arial" w:hAnsi="Arial"/>
          <w:color w:val="0b5394"/>
        </w:rPr>
      </w:pPr>
      <w:bookmarkStart w:colFirst="0" w:colLast="0" w:name="_heading=h.fevtosxntrhc" w:id="5"/>
      <w:bookmarkEnd w:id="5"/>
      <w:r w:rsidDel="00000000" w:rsidR="00000000" w:rsidRPr="00000000">
        <w:rPr>
          <w:rtl w:val="0"/>
        </w:rPr>
      </w:r>
    </w:p>
    <w:p w:rsidR="00000000" w:rsidDel="00000000" w:rsidP="00000000" w:rsidRDefault="00000000" w:rsidRPr="00000000" w14:paraId="0000003E">
      <w:pPr>
        <w:pStyle w:val="Heading3"/>
        <w:keepNext w:val="0"/>
        <w:keepLines w:val="0"/>
        <w:spacing w:after="80" w:before="280" w:line="288" w:lineRule="auto"/>
        <w:rPr>
          <w:rFonts w:ascii="Arial" w:cs="Arial" w:eastAsia="Arial" w:hAnsi="Arial"/>
          <w:color w:val="0b5394"/>
        </w:rPr>
      </w:pPr>
      <w:bookmarkStart w:colFirst="0" w:colLast="0" w:name="_heading=h.j1rorm5cguxq" w:id="6"/>
      <w:bookmarkEnd w:id="6"/>
      <w:r w:rsidDel="00000000" w:rsidR="00000000" w:rsidRPr="00000000">
        <w:rPr>
          <w:rtl w:val="0"/>
        </w:rPr>
      </w:r>
    </w:p>
    <w:p w:rsidR="00000000" w:rsidDel="00000000" w:rsidP="00000000" w:rsidRDefault="00000000" w:rsidRPr="00000000" w14:paraId="0000003F">
      <w:pPr>
        <w:pStyle w:val="Heading3"/>
        <w:keepNext w:val="0"/>
        <w:keepLines w:val="0"/>
        <w:spacing w:after="80" w:before="280" w:line="288" w:lineRule="auto"/>
        <w:rPr>
          <w:rFonts w:ascii="Arial" w:cs="Arial" w:eastAsia="Arial" w:hAnsi="Arial"/>
          <w:color w:val="0b5394"/>
        </w:rPr>
      </w:pPr>
      <w:bookmarkStart w:colFirst="0" w:colLast="0" w:name="_heading=h.pzntb6qw67vd" w:id="7"/>
      <w:bookmarkEnd w:id="7"/>
      <w:r w:rsidDel="00000000" w:rsidR="00000000" w:rsidRPr="00000000">
        <w:rPr>
          <w:rtl w:val="0"/>
        </w:rPr>
      </w:r>
    </w:p>
    <w:p w:rsidR="00000000" w:rsidDel="00000000" w:rsidP="00000000" w:rsidRDefault="00000000" w:rsidRPr="00000000" w14:paraId="00000040">
      <w:pPr>
        <w:pStyle w:val="Heading3"/>
        <w:keepNext w:val="0"/>
        <w:keepLines w:val="0"/>
        <w:spacing w:after="80" w:before="280" w:line="288" w:lineRule="auto"/>
        <w:rPr>
          <w:rFonts w:ascii="Arial" w:cs="Arial" w:eastAsia="Arial" w:hAnsi="Arial"/>
          <w:color w:val="0b5394"/>
        </w:rPr>
      </w:pPr>
      <w:bookmarkStart w:colFirst="0" w:colLast="0" w:name="_heading=h.aq9zpdczkngk" w:id="8"/>
      <w:bookmarkEnd w:id="8"/>
      <w:r w:rsidDel="00000000" w:rsidR="00000000" w:rsidRPr="00000000">
        <w:rPr>
          <w:rtl w:val="0"/>
        </w:rPr>
      </w:r>
    </w:p>
    <w:p w:rsidR="00000000" w:rsidDel="00000000" w:rsidP="00000000" w:rsidRDefault="00000000" w:rsidRPr="00000000" w14:paraId="00000041">
      <w:pPr>
        <w:pStyle w:val="Heading3"/>
        <w:keepNext w:val="0"/>
        <w:keepLines w:val="0"/>
        <w:spacing w:after="80" w:before="280" w:line="288" w:lineRule="auto"/>
        <w:rPr>
          <w:rFonts w:ascii="Arial" w:cs="Arial" w:eastAsia="Arial" w:hAnsi="Arial"/>
        </w:rPr>
      </w:pPr>
      <w:bookmarkStart w:colFirst="0" w:colLast="0" w:name="_heading=h.25v0qoc1htqy" w:id="9"/>
      <w:bookmarkEnd w:id="9"/>
      <w:r w:rsidDel="00000000" w:rsidR="00000000" w:rsidRPr="00000000">
        <w:rPr>
          <w:rFonts w:ascii="Arial" w:cs="Arial" w:eastAsia="Arial" w:hAnsi="Arial"/>
          <w:rtl w:val="0"/>
        </w:rPr>
        <w:t xml:space="preserve">Whole School Approach</w:t>
      </w:r>
    </w:p>
    <w:tbl>
      <w:tblPr>
        <w:tblStyle w:val="Table2"/>
        <w:tblW w:w="92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5"/>
        <w:gridCol w:w="1620"/>
        <w:gridCol w:w="3810"/>
        <w:gridCol w:w="1965"/>
        <w:tblGridChange w:id="0">
          <w:tblGrid>
            <w:gridCol w:w="1875"/>
            <w:gridCol w:w="1620"/>
            <w:gridCol w:w="3810"/>
            <w:gridCol w:w="1965"/>
          </w:tblGrid>
        </w:tblGridChange>
      </w:tblGrid>
      <w:tr>
        <w:trPr>
          <w:cantSplit w:val="0"/>
          <w:trHeight w:val="980" w:hRule="atLeast"/>
          <w:tblHeader w:val="0"/>
        </w:trPr>
        <w:tc>
          <w:tcPr>
            <w:tcBorders>
              <w:top w:color="1f3864" w:space="0" w:sz="24" w:val="single"/>
              <w:left w:color="1f3864" w:space="0" w:sz="24" w:val="single"/>
              <w:bottom w:color="c00000" w:space="0" w:sz="24" w:val="single"/>
              <w:right w:color="1f3864" w:space="0" w:sz="24" w:val="single"/>
            </w:tcBorders>
            <w:shd w:fill="1f3864" w:val="clear"/>
            <w:tcMar>
              <w:top w:w="100.0" w:type="dxa"/>
              <w:left w:w="100.0" w:type="dxa"/>
              <w:bottom w:w="100.0" w:type="dxa"/>
              <w:right w:w="100.0" w:type="dxa"/>
            </w:tcMar>
            <w:vAlign w:val="top"/>
          </w:tcPr>
          <w:p w:rsidR="00000000" w:rsidDel="00000000" w:rsidP="00000000" w:rsidRDefault="00000000" w:rsidRPr="00000000" w14:paraId="00000042">
            <w:pPr>
              <w:spacing w:after="40" w:before="40" w:line="256.8" w:lineRule="auto"/>
              <w:ind w:right="220"/>
              <w:jc w:val="center"/>
              <w:rPr>
                <w:b w:val="1"/>
                <w:color w:val="ffffff"/>
              </w:rPr>
            </w:pPr>
            <w:r w:rsidDel="00000000" w:rsidR="00000000" w:rsidRPr="00000000">
              <w:rPr>
                <w:b w:val="1"/>
                <w:color w:val="ffffff"/>
                <w:rtl w:val="0"/>
              </w:rPr>
              <w:t xml:space="preserve">Care Continuum</w:t>
            </w:r>
          </w:p>
        </w:tc>
        <w:tc>
          <w:tcPr>
            <w:tcBorders>
              <w:top w:color="1f3864" w:space="0" w:sz="24" w:val="single"/>
              <w:left w:color="000000" w:space="0" w:sz="0" w:val="nil"/>
              <w:bottom w:color="c00000" w:space="0" w:sz="24" w:val="single"/>
              <w:right w:color="1f3864" w:space="0" w:sz="24" w:val="single"/>
            </w:tcBorders>
            <w:shd w:fill="1f3864" w:val="clear"/>
            <w:tcMar>
              <w:top w:w="100.0" w:type="dxa"/>
              <w:left w:w="100.0" w:type="dxa"/>
              <w:bottom w:w="100.0" w:type="dxa"/>
              <w:right w:w="100.0" w:type="dxa"/>
            </w:tcMar>
            <w:vAlign w:val="top"/>
          </w:tcPr>
          <w:p w:rsidR="00000000" w:rsidDel="00000000" w:rsidP="00000000" w:rsidRDefault="00000000" w:rsidRPr="00000000" w14:paraId="00000043">
            <w:pPr>
              <w:spacing w:after="40" w:before="40" w:line="256.8" w:lineRule="auto"/>
              <w:ind w:right="220"/>
              <w:jc w:val="center"/>
              <w:rPr>
                <w:b w:val="1"/>
                <w:color w:val="ffffff"/>
              </w:rPr>
            </w:pPr>
            <w:r w:rsidDel="00000000" w:rsidR="00000000" w:rsidRPr="00000000">
              <w:rPr>
                <w:b w:val="1"/>
                <w:color w:val="ffffff"/>
                <w:rtl w:val="0"/>
              </w:rPr>
              <w:t xml:space="preserve">Strategy or Program</w:t>
            </w:r>
          </w:p>
        </w:tc>
        <w:tc>
          <w:tcPr>
            <w:tcBorders>
              <w:top w:color="1f3864" w:space="0" w:sz="24" w:val="single"/>
              <w:left w:color="000000" w:space="0" w:sz="0" w:val="nil"/>
              <w:bottom w:color="c00000" w:space="0" w:sz="24" w:val="single"/>
              <w:right w:color="1f3864" w:space="0" w:sz="24" w:val="single"/>
            </w:tcBorders>
            <w:shd w:fill="1f3864" w:val="clear"/>
            <w:tcMar>
              <w:top w:w="100.0" w:type="dxa"/>
              <w:left w:w="100.0" w:type="dxa"/>
              <w:bottom w:w="100.0" w:type="dxa"/>
              <w:right w:w="100.0" w:type="dxa"/>
            </w:tcMar>
            <w:vAlign w:val="top"/>
          </w:tcPr>
          <w:p w:rsidR="00000000" w:rsidDel="00000000" w:rsidP="00000000" w:rsidRDefault="00000000" w:rsidRPr="00000000" w14:paraId="00000044">
            <w:pPr>
              <w:spacing w:after="40" w:before="40" w:line="256.8" w:lineRule="auto"/>
              <w:ind w:right="220"/>
              <w:jc w:val="center"/>
              <w:rPr>
                <w:b w:val="1"/>
                <w:color w:val="ffffff"/>
              </w:rPr>
            </w:pPr>
            <w:r w:rsidDel="00000000" w:rsidR="00000000" w:rsidRPr="00000000">
              <w:rPr>
                <w:b w:val="1"/>
                <w:color w:val="ffffff"/>
                <w:rtl w:val="0"/>
              </w:rPr>
              <w:t xml:space="preserve">Details</w:t>
            </w:r>
          </w:p>
        </w:tc>
        <w:tc>
          <w:tcPr>
            <w:tcBorders>
              <w:top w:color="1f3864" w:space="0" w:sz="24" w:val="single"/>
              <w:left w:color="000000" w:space="0" w:sz="0" w:val="nil"/>
              <w:bottom w:color="c00000" w:space="0" w:sz="24" w:val="single"/>
              <w:right w:color="1f3864" w:space="0" w:sz="24" w:val="single"/>
            </w:tcBorders>
            <w:shd w:fill="1f3864" w:val="clear"/>
            <w:tcMar>
              <w:top w:w="100.0" w:type="dxa"/>
              <w:left w:w="100.0" w:type="dxa"/>
              <w:bottom w:w="100.0" w:type="dxa"/>
              <w:right w:w="100.0" w:type="dxa"/>
            </w:tcMar>
            <w:vAlign w:val="top"/>
          </w:tcPr>
          <w:p w:rsidR="00000000" w:rsidDel="00000000" w:rsidP="00000000" w:rsidRDefault="00000000" w:rsidRPr="00000000" w14:paraId="00000045">
            <w:pPr>
              <w:spacing w:after="40" w:before="40" w:line="256.8" w:lineRule="auto"/>
              <w:ind w:right="220"/>
              <w:jc w:val="center"/>
              <w:rPr>
                <w:b w:val="1"/>
                <w:color w:val="ffffff"/>
              </w:rPr>
            </w:pPr>
            <w:r w:rsidDel="00000000" w:rsidR="00000000" w:rsidRPr="00000000">
              <w:rPr>
                <w:b w:val="1"/>
                <w:color w:val="ffffff"/>
                <w:rtl w:val="0"/>
              </w:rPr>
              <w:t xml:space="preserve">Audience</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Prevention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BroSpeak/SistaSpeak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cultural and mentoring workshop program at our school, which has a strong cultural focus and is designed to inspire and motivate Aboriginal young people about the importance of education.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ATSI Students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A">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Prevention</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B">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Berry St</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A trauma informed practice that creates a safe space for students to succeed and thrive. Built of consistent, predictable routines, relationships are established between the teacher and the students to ensure we are all ready to learn at all stage of the school day.</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4D">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students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Prevention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Mindfulness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SmilingMinds - A mindfulness program to create a calm and safe learning environment.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students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52">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Prevention</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53">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Differentiation</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54">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Targeted teaching that is differentiated to meet the students at their point of need to ensure students are engaged. </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55">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students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Early Intervention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Extra-Curricula Activities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provide students with the opportunity to participate in extra-curricula activities to build a sense of belonging.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All students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5A">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Early Intervention</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5B">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SEL Program</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5C">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Bounce Back - teaches social emotional skills to students through a literacy approach with circle time. </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5D">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students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Early Intervention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PBL Tier 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Positive Behaviour for Learning (PBL) Tier 1 Schoolwide and classroom systems of support that brings together the whole school community to contribute to developing a positive, safe and supportive learning culture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students</w:t>
            </w:r>
            <w:r w:rsidDel="00000000" w:rsidR="00000000" w:rsidRPr="00000000">
              <w:rPr>
                <w:rFonts w:ascii="Arial" w:cs="Arial" w:eastAsia="Arial" w:hAnsi="Arial"/>
                <w:sz w:val="24"/>
                <w:szCs w:val="24"/>
                <w:rtl w:val="0"/>
              </w:rPr>
              <w:t xml:space="preserve"> </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62">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Targeted Intervention</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63">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LaST</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64">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Learning and Support team work with teachers, students and families to support those students who require personalised learning and support. Including instructional leadership, development of risk assessments and the development of short- and long-term goals.</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65">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Targeted students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Targeted Intervention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PLP’s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Personlised Learning Pathways include personal goals in which AEO’s target ATSI students and work one on one with to meet the individual academic, cultural and social goals.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ATSI Students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6A">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Targeted Intervention</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6B">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Zones Of Regulation</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6C">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program that is aimed at teaching students to manage and reflect on their own emotions with the goal of regulating their own emotions and forming regular social groups. </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6D">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Targeted students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Individual Intervention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Risk management plans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Plans created to support staff in understanding and managing students with high level behaviours of concern.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LST and AP/DP</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72">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Individual Intervention</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73">
            <w:pPr>
              <w:spacing w:after="40" w:before="40" w:line="256.8" w:lineRule="auto"/>
              <w:ind w:right="22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PLASPS</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74">
            <w:pPr>
              <w:spacing w:after="40" w:before="40" w:line="256.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Individualised learning programs provided for students that will include behavioural goals for students and staff to work towards. </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75">
            <w:pPr>
              <w:spacing w:after="40" w:before="40" w:line="256.8" w:lineRule="auto"/>
              <w:ind w:right="22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CT, LST, Families</w:t>
            </w:r>
          </w:p>
        </w:tc>
      </w:tr>
    </w:tbl>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pStyle w:val="Heading3"/>
        <w:keepNext w:val="0"/>
        <w:keepLines w:val="0"/>
        <w:spacing w:after="80" w:before="280" w:line="288" w:lineRule="auto"/>
        <w:rPr>
          <w:rFonts w:ascii="Arial" w:cs="Arial" w:eastAsia="Arial" w:hAnsi="Arial"/>
        </w:rPr>
      </w:pPr>
      <w:bookmarkStart w:colFirst="0" w:colLast="0" w:name="_heading=h.z2yqetnrp1uq" w:id="10"/>
      <w:bookmarkEnd w:id="10"/>
      <w:r w:rsidDel="00000000" w:rsidR="00000000" w:rsidRPr="00000000">
        <w:rPr>
          <w:rFonts w:ascii="Arial" w:cs="Arial" w:eastAsia="Arial" w:hAnsi="Arial"/>
          <w:rtl w:val="0"/>
        </w:rPr>
        <w:t xml:space="preserve">Detention, reflection and restorative practices</w:t>
      </w:r>
    </w:p>
    <w:tbl>
      <w:tblPr>
        <w:tblStyle w:val="Table3"/>
        <w:tblW w:w="92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1860"/>
        <w:gridCol w:w="2010"/>
        <w:gridCol w:w="1950"/>
        <w:tblGridChange w:id="0">
          <w:tblGrid>
            <w:gridCol w:w="3450"/>
            <w:gridCol w:w="1860"/>
            <w:gridCol w:w="2010"/>
            <w:gridCol w:w="1950"/>
          </w:tblGrid>
        </w:tblGridChange>
      </w:tblGrid>
      <w:tr>
        <w:trPr>
          <w:cantSplit w:val="0"/>
          <w:trHeight w:val="755" w:hRule="atLeast"/>
          <w:tblHeader w:val="0"/>
        </w:trPr>
        <w:tc>
          <w:tcPr>
            <w:tcBorders>
              <w:top w:color="1f3864" w:space="0" w:sz="24" w:val="single"/>
              <w:left w:color="1f3864" w:space="0" w:sz="24" w:val="single"/>
              <w:bottom w:color="c00000" w:space="0" w:sz="24" w:val="single"/>
              <w:right w:color="1f3864" w:space="0" w:sz="24" w:val="single"/>
            </w:tcBorders>
            <w:shd w:fill="1f3864" w:val="clear"/>
            <w:tcMar>
              <w:top w:w="100.0" w:type="dxa"/>
              <w:left w:w="100.0" w:type="dxa"/>
              <w:bottom w:w="100.0" w:type="dxa"/>
              <w:right w:w="100.0" w:type="dxa"/>
            </w:tcMar>
            <w:vAlign w:val="top"/>
          </w:tcPr>
          <w:p w:rsidR="00000000" w:rsidDel="00000000" w:rsidP="00000000" w:rsidRDefault="00000000" w:rsidRPr="00000000" w14:paraId="00000078">
            <w:pPr>
              <w:spacing w:after="40" w:before="40" w:line="256.8" w:lineRule="auto"/>
              <w:rPr>
                <w:b w:val="1"/>
                <w:color w:val="ffffff"/>
              </w:rPr>
            </w:pPr>
            <w:r w:rsidDel="00000000" w:rsidR="00000000" w:rsidRPr="00000000">
              <w:rPr>
                <w:b w:val="1"/>
                <w:color w:val="ffffff"/>
                <w:rtl w:val="0"/>
              </w:rPr>
              <w:t xml:space="preserve">Action</w:t>
            </w:r>
          </w:p>
        </w:tc>
        <w:tc>
          <w:tcPr>
            <w:tcBorders>
              <w:top w:color="1f3864" w:space="0" w:sz="24" w:val="single"/>
              <w:left w:color="000000" w:space="0" w:sz="0" w:val="nil"/>
              <w:bottom w:color="c00000" w:space="0" w:sz="24" w:val="single"/>
              <w:right w:color="1f3864" w:space="0" w:sz="24" w:val="single"/>
            </w:tcBorders>
            <w:shd w:fill="1f3864" w:val="clear"/>
            <w:tcMar>
              <w:top w:w="100.0" w:type="dxa"/>
              <w:left w:w="100.0" w:type="dxa"/>
              <w:bottom w:w="100.0" w:type="dxa"/>
              <w:right w:w="100.0" w:type="dxa"/>
            </w:tcMar>
            <w:vAlign w:val="top"/>
          </w:tcPr>
          <w:p w:rsidR="00000000" w:rsidDel="00000000" w:rsidP="00000000" w:rsidRDefault="00000000" w:rsidRPr="00000000" w14:paraId="00000079">
            <w:pPr>
              <w:spacing w:after="40" w:before="40" w:line="256.8" w:lineRule="auto"/>
              <w:rPr>
                <w:b w:val="1"/>
                <w:color w:val="ffffff"/>
              </w:rPr>
            </w:pPr>
            <w:r w:rsidDel="00000000" w:rsidR="00000000" w:rsidRPr="00000000">
              <w:rPr>
                <w:b w:val="1"/>
                <w:color w:val="ffffff"/>
                <w:rtl w:val="0"/>
              </w:rPr>
              <w:t xml:space="preserve">When and how long?</w:t>
            </w:r>
          </w:p>
        </w:tc>
        <w:tc>
          <w:tcPr>
            <w:tcBorders>
              <w:top w:color="1f3864" w:space="0" w:sz="24" w:val="single"/>
              <w:left w:color="000000" w:space="0" w:sz="0" w:val="nil"/>
              <w:bottom w:color="c00000" w:space="0" w:sz="24" w:val="single"/>
              <w:right w:color="1f3864" w:space="0" w:sz="24" w:val="single"/>
            </w:tcBorders>
            <w:shd w:fill="1f3864" w:val="clear"/>
            <w:tcMar>
              <w:top w:w="100.0" w:type="dxa"/>
              <w:left w:w="100.0" w:type="dxa"/>
              <w:bottom w:w="100.0" w:type="dxa"/>
              <w:right w:w="100.0" w:type="dxa"/>
            </w:tcMar>
            <w:vAlign w:val="top"/>
          </w:tcPr>
          <w:p w:rsidR="00000000" w:rsidDel="00000000" w:rsidP="00000000" w:rsidRDefault="00000000" w:rsidRPr="00000000" w14:paraId="0000007A">
            <w:pPr>
              <w:spacing w:after="40" w:before="40" w:line="256.8" w:lineRule="auto"/>
              <w:rPr>
                <w:b w:val="1"/>
                <w:color w:val="ffffff"/>
              </w:rPr>
            </w:pPr>
            <w:r w:rsidDel="00000000" w:rsidR="00000000" w:rsidRPr="00000000">
              <w:rPr>
                <w:b w:val="1"/>
                <w:color w:val="ffffff"/>
                <w:rtl w:val="0"/>
              </w:rPr>
              <w:t xml:space="preserve">Who coordinates?</w:t>
            </w:r>
          </w:p>
        </w:tc>
        <w:tc>
          <w:tcPr>
            <w:tcBorders>
              <w:top w:color="1f3864" w:space="0" w:sz="24" w:val="single"/>
              <w:left w:color="000000" w:space="0" w:sz="0" w:val="nil"/>
              <w:bottom w:color="c00000" w:space="0" w:sz="24" w:val="single"/>
              <w:right w:color="1f3864" w:space="0" w:sz="24" w:val="single"/>
            </w:tcBorders>
            <w:shd w:fill="1f3864" w:val="clear"/>
            <w:tcMar>
              <w:top w:w="100.0" w:type="dxa"/>
              <w:left w:w="100.0" w:type="dxa"/>
              <w:bottom w:w="100.0" w:type="dxa"/>
              <w:right w:w="100.0" w:type="dxa"/>
            </w:tcMar>
            <w:vAlign w:val="top"/>
          </w:tcPr>
          <w:p w:rsidR="00000000" w:rsidDel="00000000" w:rsidP="00000000" w:rsidRDefault="00000000" w:rsidRPr="00000000" w14:paraId="0000007B">
            <w:pPr>
              <w:spacing w:after="40" w:before="40" w:line="256.8" w:lineRule="auto"/>
              <w:rPr>
                <w:b w:val="1"/>
                <w:color w:val="ffffff"/>
              </w:rPr>
            </w:pPr>
            <w:r w:rsidDel="00000000" w:rsidR="00000000" w:rsidRPr="00000000">
              <w:rPr>
                <w:b w:val="1"/>
                <w:color w:val="ffffff"/>
                <w:rtl w:val="0"/>
              </w:rPr>
              <w:t xml:space="preserve">How are these recorded?</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40" w:before="40" w:line="256.8" w:lineRule="auto"/>
              <w:rPr>
                <w:b w:val="1"/>
              </w:rPr>
            </w:pPr>
            <w:r w:rsidDel="00000000" w:rsidR="00000000" w:rsidRPr="00000000">
              <w:rPr>
                <w:b w:val="1"/>
                <w:rtl w:val="0"/>
              </w:rPr>
              <w:t xml:space="preserve"> Reflection Room - Students who receive levels will be required to attend reflection room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40" w:before="40" w:line="256.8" w:lineRule="auto"/>
              <w:rPr/>
            </w:pPr>
            <w:r w:rsidDel="00000000" w:rsidR="00000000" w:rsidRPr="00000000">
              <w:rPr>
                <w:rtl w:val="0"/>
              </w:rPr>
              <w:t xml:space="preserve">Time based on level. </w:t>
            </w:r>
          </w:p>
          <w:p w:rsidR="00000000" w:rsidDel="00000000" w:rsidP="00000000" w:rsidRDefault="00000000" w:rsidRPr="00000000" w14:paraId="0000007E">
            <w:pPr>
              <w:spacing w:after="40" w:before="40" w:line="256.8" w:lineRule="auto"/>
              <w:rPr/>
            </w:pPr>
            <w:r w:rsidDel="00000000" w:rsidR="00000000" w:rsidRPr="00000000">
              <w:rPr>
                <w:rtl w:val="0"/>
              </w:rPr>
              <w:t xml:space="preserve">Recess and Lunch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40" w:before="40" w:line="256.8" w:lineRule="auto"/>
              <w:rPr/>
            </w:pPr>
            <w:r w:rsidDel="00000000" w:rsidR="00000000" w:rsidRPr="00000000">
              <w:rPr>
                <w:rtl w:val="0"/>
              </w:rPr>
              <w:t xml:space="preserve">AP’s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40" w:before="40" w:line="256.8" w:lineRule="auto"/>
              <w:rPr/>
            </w:pPr>
            <w:r w:rsidDel="00000000" w:rsidR="00000000" w:rsidRPr="00000000">
              <w:rPr>
                <w:rtl w:val="0"/>
              </w:rPr>
              <w:t xml:space="preserve">Sentral</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81">
            <w:pPr>
              <w:spacing w:after="40" w:before="40" w:line="256.8" w:lineRule="auto"/>
              <w:rPr>
                <w:b w:val="1"/>
              </w:rPr>
            </w:pPr>
            <w:r w:rsidDel="00000000" w:rsidR="00000000" w:rsidRPr="00000000">
              <w:rPr>
                <w:b w:val="1"/>
                <w:rtl w:val="0"/>
              </w:rPr>
              <w:t xml:space="preserve"> Calm down space - areas within the classrooms that allows students to take themselves out and spend time to gather themselves.</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82">
            <w:pPr>
              <w:spacing w:after="40" w:before="40" w:line="256.8" w:lineRule="auto"/>
              <w:rPr/>
            </w:pPr>
            <w:r w:rsidDel="00000000" w:rsidR="00000000" w:rsidRPr="00000000">
              <w:rPr>
                <w:rtl w:val="0"/>
              </w:rPr>
              <w:t xml:space="preserve">10  mins during class</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83">
            <w:pPr>
              <w:spacing w:after="40" w:before="40" w:line="256.8" w:lineRule="auto"/>
              <w:rPr/>
            </w:pPr>
            <w:r w:rsidDel="00000000" w:rsidR="00000000" w:rsidRPr="00000000">
              <w:rPr>
                <w:rtl w:val="0"/>
              </w:rPr>
              <w:t xml:space="preserve">CRT</w:t>
            </w:r>
          </w:p>
        </w:tc>
        <w:tc>
          <w:tcPr>
            <w:tcBorders>
              <w:top w:color="000000" w:space="0" w:sz="0" w:val="nil"/>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084">
            <w:pPr>
              <w:spacing w:after="40" w:before="40" w:line="256.8" w:lineRule="auto"/>
              <w:rPr/>
            </w:pPr>
            <w:r w:rsidDel="00000000" w:rsidR="00000000" w:rsidRPr="00000000">
              <w:rPr>
                <w:rtl w:val="0"/>
              </w:rPr>
              <w:t xml:space="preserve">Staff Observations</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40" w:before="40" w:line="256.8" w:lineRule="auto"/>
              <w:rPr>
                <w:b w:val="1"/>
              </w:rPr>
            </w:pPr>
            <w:r w:rsidDel="00000000" w:rsidR="00000000" w:rsidRPr="00000000">
              <w:rPr>
                <w:b w:val="1"/>
                <w:rtl w:val="0"/>
              </w:rPr>
              <w:t xml:space="preserve">Movement Breaks - SLSO to take targeted students for movement breaks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40" w:before="40" w:line="256.8" w:lineRule="auto"/>
              <w:rPr/>
            </w:pPr>
            <w:r w:rsidDel="00000000" w:rsidR="00000000" w:rsidRPr="00000000">
              <w:rPr>
                <w:rtl w:val="0"/>
              </w:rPr>
              <w:t xml:space="preserve">10 mins during class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40" w:before="40" w:line="256.8" w:lineRule="auto"/>
              <w:rPr/>
            </w:pPr>
            <w:r w:rsidDel="00000000" w:rsidR="00000000" w:rsidRPr="00000000">
              <w:rPr>
                <w:rtl w:val="0"/>
              </w:rPr>
              <w:t xml:space="preserve">SLSO and CRT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40" w:before="40" w:line="256.8" w:lineRule="auto"/>
              <w:rPr/>
            </w:pPr>
            <w:r w:rsidDel="00000000" w:rsidR="00000000" w:rsidRPr="00000000">
              <w:rPr>
                <w:rtl w:val="0"/>
              </w:rPr>
              <w:t xml:space="preserve">Individual Timetable</w:t>
            </w:r>
          </w:p>
        </w:tc>
      </w:tr>
    </w:tbl>
    <w:p w:rsidR="00000000" w:rsidDel="00000000" w:rsidP="00000000" w:rsidRDefault="00000000" w:rsidRPr="00000000" w14:paraId="00000089">
      <w:pPr>
        <w:pStyle w:val="Heading3"/>
        <w:keepNext w:val="0"/>
        <w:keepLines w:val="0"/>
        <w:spacing w:after="80" w:before="280" w:line="288" w:lineRule="auto"/>
        <w:rPr>
          <w:rFonts w:ascii="Arial" w:cs="Arial" w:eastAsia="Arial" w:hAnsi="Arial"/>
        </w:rPr>
      </w:pPr>
      <w:bookmarkStart w:colFirst="0" w:colLast="0" w:name="_heading=h.dyukyxaptus" w:id="11"/>
      <w:bookmarkEnd w:id="11"/>
      <w:r w:rsidDel="00000000" w:rsidR="00000000" w:rsidRPr="00000000">
        <w:rPr>
          <w:rFonts w:ascii="Arial" w:cs="Arial" w:eastAsia="Arial" w:hAnsi="Arial"/>
          <w:rtl w:val="0"/>
        </w:rPr>
        <w:t xml:space="preserve">Partnership with parents/carers</w:t>
      </w:r>
    </w:p>
    <w:p w:rsidR="00000000" w:rsidDel="00000000" w:rsidP="00000000" w:rsidRDefault="00000000" w:rsidRPr="00000000" w14:paraId="0000008A">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Bonnyrigg Public School</w:t>
      </w:r>
      <w:r w:rsidDel="00000000" w:rsidR="00000000" w:rsidRPr="00000000">
        <w:rPr>
          <w:rFonts w:ascii="Arial" w:cs="Arial" w:eastAsia="Arial" w:hAnsi="Arial"/>
          <w:sz w:val="24"/>
          <w:szCs w:val="24"/>
          <w:rtl w:val="0"/>
        </w:rPr>
        <w:t xml:space="preserve"> will partner with parents/carers in establishing expectations for parent engagement in developing and implementing student behaviour management strategies by requiring input from parents in regards to Personalised Learning and Support Plans and Personalised Learning Pathways. </w:t>
      </w:r>
    </w:p>
    <w:p w:rsidR="00000000" w:rsidDel="00000000" w:rsidP="00000000" w:rsidRDefault="00000000" w:rsidRPr="00000000" w14:paraId="0000008B">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Bonnyrigg Public School will communicate these expectations to parents/carers by coordinating meetings with parents. </w:t>
      </w:r>
    </w:p>
    <w:p w:rsidR="00000000" w:rsidDel="00000000" w:rsidP="00000000" w:rsidRDefault="00000000" w:rsidRPr="00000000" w14:paraId="0000008C">
      <w:pPr>
        <w:pStyle w:val="Heading3"/>
        <w:keepNext w:val="0"/>
        <w:keepLines w:val="0"/>
        <w:spacing w:after="80" w:before="280" w:line="288" w:lineRule="auto"/>
        <w:rPr>
          <w:rFonts w:ascii="Arial" w:cs="Arial" w:eastAsia="Arial" w:hAnsi="Arial"/>
        </w:rPr>
      </w:pPr>
      <w:bookmarkStart w:colFirst="0" w:colLast="0" w:name="_heading=h.omvs7ep50bsz" w:id="12"/>
      <w:bookmarkEnd w:id="12"/>
      <w:r w:rsidDel="00000000" w:rsidR="00000000" w:rsidRPr="00000000">
        <w:rPr>
          <w:rFonts w:ascii="Arial" w:cs="Arial" w:eastAsia="Arial" w:hAnsi="Arial"/>
          <w:rtl w:val="0"/>
        </w:rPr>
        <w:t xml:space="preserve">School Anti-bullying Plan</w:t>
      </w:r>
    </w:p>
    <w:p w:rsidR="00000000" w:rsidDel="00000000" w:rsidP="00000000" w:rsidRDefault="00000000" w:rsidRPr="00000000" w14:paraId="0000008D">
      <w:pPr>
        <w:spacing w:after="240" w:lineRule="auto"/>
        <w:rPr>
          <w:rFonts w:ascii="Arial" w:cs="Arial" w:eastAsia="Arial" w:hAnsi="Arial"/>
          <w:sz w:val="24"/>
          <w:szCs w:val="24"/>
        </w:rPr>
      </w:pPr>
      <w:r w:rsidDel="00000000" w:rsidR="00000000" w:rsidRPr="00000000">
        <w:rPr>
          <w:sz w:val="24"/>
          <w:szCs w:val="24"/>
          <w:rtl w:val="0"/>
        </w:rPr>
        <w:t xml:space="preserve">Link to website once finalised.</w:t>
      </w:r>
      <w:r w:rsidDel="00000000" w:rsidR="00000000" w:rsidRPr="00000000">
        <w:rPr>
          <w:rtl w:val="0"/>
        </w:rPr>
      </w:r>
    </w:p>
    <w:p w:rsidR="00000000" w:rsidDel="00000000" w:rsidP="00000000" w:rsidRDefault="00000000" w:rsidRPr="00000000" w14:paraId="0000008E">
      <w:pPr>
        <w:rPr>
          <w:rFonts w:ascii="Arial" w:cs="Arial" w:eastAsia="Arial" w:hAnsi="Arial"/>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Champagne &amp; Limousine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KG Second Chances Sketc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lang w:val="en-AU"/>
      </w:rPr>
    </w:rPrDefault>
    <w:pPrDefault>
      <w:pPr>
        <w:spacing w:after="120" w:before="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360" w:line="240" w:lineRule="auto"/>
    </w:pPr>
    <w:rPr>
      <w:b w:val="1"/>
      <w:color w:val="1c428a"/>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360" w:line="240" w:lineRule="auto"/>
    </w:pPr>
    <w:rPr>
      <w:b w:val="1"/>
      <w:color w:val="1c428a"/>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ŠNormal"/>
    <w:qFormat w:val="1"/>
    <w:rsid w:val="00857959"/>
    <w:pPr>
      <w:spacing w:after="120" w:before="24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val="1"/>
    <w:rsid w:val="00857959"/>
    <w:pPr>
      <w:keepNext w:val="1"/>
      <w:keepLines w:val="1"/>
      <w:tabs>
        <w:tab w:val="left" w:pos="567"/>
        <w:tab w:val="left" w:pos="1134"/>
        <w:tab w:val="left" w:pos="1701"/>
        <w:tab w:val="left" w:pos="2268"/>
        <w:tab w:val="left" w:pos="2835"/>
        <w:tab w:val="left" w:pos="3402"/>
      </w:tabs>
      <w:spacing w:after="360" w:line="240" w:lineRule="auto"/>
      <w:outlineLvl w:val="2"/>
    </w:pPr>
    <w:rPr>
      <w:rFonts w:cs="Times New Roman" w:eastAsia="SimSun"/>
      <w:b w:val="1"/>
      <w:bCs w:val="1"/>
      <w:color w:val="1c428a"/>
      <w:sz w:val="32"/>
      <w:szCs w:val="4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aliases w:val="ŠHeading 3 Char"/>
    <w:basedOn w:val="DefaultParagraphFont"/>
    <w:link w:val="Heading3"/>
    <w:uiPriority w:val="9"/>
    <w:rsid w:val="00857959"/>
    <w:rPr>
      <w:rFonts w:ascii="Montserrat" w:cs="Times New Roman" w:eastAsia="SimSun" w:hAnsi="Montserrat"/>
      <w:b w:val="1"/>
      <w:bCs w:val="1"/>
      <w:color w:val="1c428a"/>
      <w:sz w:val="32"/>
      <w:szCs w:val="40"/>
    </w:rPr>
  </w:style>
  <w:style w:type="character" w:styleId="Hyperlink">
    <w:name w:val="Hyperlink"/>
    <w:aliases w:val="ŠHyperlink"/>
    <w:basedOn w:val="DefaultParagraphFont"/>
    <w:uiPriority w:val="99"/>
    <w:rsid w:val="00857959"/>
    <w:rPr>
      <w:color w:val="2f5496" w:themeColor="accent1" w:themeShade="0000BF"/>
      <w:u w:val="single"/>
    </w:rPr>
  </w:style>
  <w:style w:type="table" w:styleId="Tableheader" w:customStyle="1">
    <w:name w:val="ŠTable header"/>
    <w:basedOn w:val="TableNormal"/>
    <w:uiPriority w:val="99"/>
    <w:rsid w:val="00857959"/>
    <w:pPr>
      <w:keepNext w:val="1"/>
      <w:widowControl w:val="0"/>
      <w:spacing w:after="120" w:before="240" w:line="288" w:lineRule="auto"/>
    </w:pPr>
    <w:rPr>
      <w:rFonts w:ascii="Arial" w:hAnsi="Arial"/>
      <w:sz w:val="20"/>
      <w:szCs w:val="24"/>
      <w:lang w:val="en-US"/>
    </w:rPr>
    <w:tblPr>
      <w:tblStyleRow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cantSplit w:val="1"/>
    </w:trPr>
    <w:tblStylePr w:type="firstRow">
      <w:pPr>
        <w:keepNext w:val="1"/>
        <w:keepLines w:val="1"/>
        <w:pageBreakBefore w:val="0"/>
        <w:widowControl w:val="0"/>
        <w:suppressLineNumbers w:val="0"/>
        <w:suppressAutoHyphens w:val="0"/>
        <w:wordWrap w:val="1"/>
        <w:adjustRightInd w:val="0"/>
        <w:snapToGrid w:val="0"/>
        <w:spacing w:after="80" w:afterAutospacing="0" w:afterLines="0" w:before="80" w:beforeAutospacing="0" w:beforeLines="0" w:line="260" w:lineRule="atLeast"/>
        <w:contextualSpacing w:val="0"/>
        <w:jc w:val="left"/>
        <w:outlineLvl w:val="9"/>
      </w:pPr>
      <w:rPr>
        <w:rFonts w:ascii="Arial" w:hAnsi="Arial"/>
        <w:b w:val="0"/>
        <w:color w:val="000000" w:themeColor="text1"/>
        <w:sz w:val="22"/>
      </w:rPr>
      <w:tblPr/>
      <w:trPr>
        <w:tblHeader w:val="1"/>
      </w:tr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b4c6e7" w:themeFill="accent1" w:themeFillTint="000066" w:val="clear"/>
      </w:tcPr>
    </w:tblStylePr>
    <w:tblStylePr w:type="firstCol">
      <w:pPr>
        <w:keepNext w:val="1"/>
        <w:keepLines w:val="0"/>
        <w:pageBreakBefore w:val="0"/>
        <w:widowControl w:val="0"/>
        <w:suppressLineNumbers w:val="0"/>
        <w:suppressAutoHyphens w:val="0"/>
        <w:wordWrap w:val="1"/>
        <w:adjustRightInd w:val="0"/>
        <w:snapToGrid w:val="0"/>
        <w:spacing w:after="80" w:afterAutospacing="0" w:afterLines="0" w:before="80" w:beforeAutospacing="0" w:beforeLines="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val="1"/>
        <w:adjustRightInd w:val="0"/>
        <w:snapToGrid w:val="0"/>
        <w:spacing w:after="80" w:afterAutospacing="0" w:afterLines="0" w:before="80" w:beforeAutospacing="0" w:beforeLines="0" w:line="240" w:lineRule="auto"/>
        <w:contextualSpacing w:val="0"/>
      </w:pPr>
    </w:tblStylePr>
    <w:tblStylePr w:type="band2Horz">
      <w:pPr>
        <w:wordWrap w:val="1"/>
        <w:adjustRightInd w:val="0"/>
        <w:snapToGrid w:val="0"/>
        <w:spacing w:after="80" w:afterAutospacing="0" w:afterLines="0" w:before="80" w:beforeAutospacing="0" w:beforeLines="0" w:line="240" w:lineRule="auto"/>
        <w:contextualSpacing w:val="0"/>
      </w:pPr>
      <w:rPr>
        <w:rFonts w:ascii="Arial" w:hAnsi="Arial"/>
        <w:sz w:val="20"/>
      </w:rPr>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ee6f6" w:val="clear"/>
      </w:tcPr>
    </w:tblStylePr>
  </w:style>
  <w:style w:type="paragraph" w:styleId="ListBullet">
    <w:name w:val="List Bullet"/>
    <w:aliases w:val="ŠList 1 Bullet,ŠList 1 bullet"/>
    <w:basedOn w:val="Normal"/>
    <w:uiPriority w:val="12"/>
    <w:qFormat w:val="1"/>
    <w:rsid w:val="00857959"/>
    <w:pPr>
      <w:numPr>
        <w:numId w:val="1"/>
      </w:numPr>
      <w:spacing w:before="120" w:line="264" w:lineRule="auto"/>
    </w:pPr>
  </w:style>
  <w:style w:type="character" w:styleId="eop" w:customStyle="1">
    <w:name w:val="eop"/>
    <w:basedOn w:val="DefaultParagraphFont"/>
    <w:rsid w:val="00857959"/>
  </w:style>
  <w:style w:type="paragraph" w:styleId="ListParagraph">
    <w:name w:val="List Paragraph"/>
    <w:basedOn w:val="Normal"/>
    <w:uiPriority w:val="1"/>
    <w:qFormat w:val="1"/>
    <w:rsid w:val="00857959"/>
    <w:pPr>
      <w:spacing w:after="160" w:before="0" w:line="259" w:lineRule="auto"/>
      <w:ind w:left="720"/>
      <w:contextualSpacing w:val="1"/>
    </w:pPr>
    <w:rPr>
      <w:rFonts w:ascii="Arial" w:cs="Arial" w:hAnsi="Arial"/>
      <w:sz w:val="24"/>
    </w:rPr>
  </w:style>
  <w:style w:type="character" w:styleId="UnresolvedMention">
    <w:name w:val="Unresolved Mention"/>
    <w:basedOn w:val="DefaultParagraphFont"/>
    <w:uiPriority w:val="99"/>
    <w:semiHidden w:val="1"/>
    <w:unhideWhenUsed w:val="1"/>
    <w:rsid w:val="00D47595"/>
    <w:rPr>
      <w:color w:val="605e5c"/>
      <w:shd w:color="auto" w:fill="e1dfdd" w:val="clear"/>
    </w:rPr>
  </w:style>
  <w:style w:type="character" w:styleId="FollowedHyperlink">
    <w:name w:val="FollowedHyperlink"/>
    <w:basedOn w:val="DefaultParagraphFont"/>
    <w:uiPriority w:val="99"/>
    <w:semiHidden w:val="1"/>
    <w:unhideWhenUsed w:val="1"/>
    <w:rsid w:val="00D4759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pageBreakBefore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pageBreakBefore w:val="0"/>
        <w:widowControl w:val="0"/>
        <w:spacing w:after="0" w:before="0" w:lineRule="auto"/>
      </w:pPr>
      <w:rPr>
        <w:rFonts w:ascii="Arial" w:cs="Arial" w:eastAsia="Arial" w:hAnsi="Arial"/>
        <w:b w:val="0"/>
        <w:sz w:val="22"/>
        <w:szCs w:val="22"/>
      </w:rPr>
    </w:tblStylePr>
    <w:tblStylePr w:type="firstRow">
      <w:pPr>
        <w:keepNext w:val="1"/>
        <w:keepLines w:val="1"/>
        <w:pageBreakBefore w:val="0"/>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4c6e7" w:val="clear"/>
      </w:tcPr>
    </w:tblStylePr>
  </w:style>
  <w:style w:type="table" w:styleId="Table2">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pageBreakBefore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pageBreakBefore w:val="0"/>
        <w:widowControl w:val="0"/>
        <w:spacing w:after="0" w:before="0" w:lineRule="auto"/>
      </w:pPr>
      <w:rPr>
        <w:rFonts w:ascii="Arial" w:cs="Arial" w:eastAsia="Arial" w:hAnsi="Arial"/>
        <w:b w:val="0"/>
        <w:sz w:val="22"/>
        <w:szCs w:val="22"/>
      </w:rPr>
    </w:tblStylePr>
    <w:tblStylePr w:type="firstRow">
      <w:pPr>
        <w:keepNext w:val="1"/>
        <w:keepLines w:val="1"/>
        <w:pageBreakBefore w:val="0"/>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4c6e7"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pageBreakBefore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pageBreakBefore w:val="0"/>
        <w:widowControl w:val="0"/>
        <w:spacing w:after="0" w:before="0" w:lineRule="auto"/>
      </w:pPr>
      <w:rPr>
        <w:rFonts w:ascii="Arial" w:cs="Arial" w:eastAsia="Arial" w:hAnsi="Arial"/>
        <w:b w:val="0"/>
        <w:sz w:val="22"/>
        <w:szCs w:val="22"/>
      </w:rPr>
    </w:tblStylePr>
    <w:tblStylePr w:type="firstRow">
      <w:pPr>
        <w:keepNext w:val="1"/>
        <w:keepLines w:val="1"/>
        <w:pageBreakBefore w:val="0"/>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4c6e7" w:val="cle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ducation.nsw.gov.au/policy-library/policies/pd-2006-0316/pd-2006-0316-01" TargetMode="External"/><Relationship Id="rId10" Type="http://schemas.openxmlformats.org/officeDocument/2006/relationships/hyperlink" Target="https://education.nsw.gov.au/content/dam/main-education/policy-library/associated-documents/pd-2006-0316-04.pdf" TargetMode="External"/><Relationship Id="rId12" Type="http://schemas.openxmlformats.org/officeDocument/2006/relationships/hyperlink" Target="https://education.nsw.gov.au/policy-library/policies/pd-2006-0316/pd-2006-0316-01" TargetMode="External"/><Relationship Id="rId9" Type="http://schemas.openxmlformats.org/officeDocument/2006/relationships/hyperlink" Target="https://education.nsw.gov.au/content/dam/main-education/policy-library/associated-documents/pd-2006-0316-0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ducation.nsw.gov.au/content/dam/main-education/policy-library/associated-documents/pd-2006-0316-0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cBXxwohDjZ/DkflqT2TWTZ7paw==">AMUW2mXbKd/yQ55wmj+OPGcHjn5AfSD40KAoe1tb4hGIt7mL6N4N2Ua/YNmUOFx5tje40bS6WwVBiwZAGqh/u/rewCnctmJl5lZseYecMSEhAZhENxjfoMrwkwhRXIoCtrSHw5iK72ScGYDuVTAMkYpEZkQ2p3bgMkGJ+8U9WvaTA8AyO91ouJeKimBKJZeu+9p4uBDgybD5ZFyaDHo1qJcGWRKtB2qJAcElBJVfsmMMEJLd7FjKfPVTAMja+aj1NPJHoZxydDq2wz1QUUo8ul/F1RtZ00k++cBmSvxnXRBnLckX7E3EhaQd0yhr1Rnt5qc2WvILIuMKt4wBGwMCsQ5HNzj++0GxQJEUEEKeFba/EUou0Dw6Mm64ifj4SNu/vvHTbBxSOo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2023-03-27T10:02:00Z</dcterms:created>
  <dc:creator>Jessica Dorman</dc:creator>
</cp:coreProperties>
</file>